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8DF926" w14:textId="5D1888ED" w:rsidR="006C79C5" w:rsidRDefault="006C79C5" w:rsidP="006C79C5">
      <w:pPr>
        <w:pStyle w:val="a7"/>
        <w:jc w:val="left"/>
        <w:rPr>
          <w:rFonts w:ascii="Times New Roman" w:hAnsi="Times New Roman" w:cs="Times New Roman"/>
          <w:sz w:val="24"/>
          <w:szCs w:val="24"/>
          <w:lang w:eastAsia="zh-CN"/>
        </w:rPr>
      </w:pPr>
      <w:bookmarkStart w:id="0" w:name="_Hlk35972353"/>
      <w:bookmarkEnd w:id="0"/>
      <w:r>
        <w:rPr>
          <w:rFonts w:ascii="Times New Roman" w:hAnsi="Times New Roman" w:cs="Times New Roman" w:hint="eastAsia"/>
          <w:sz w:val="24"/>
          <w:szCs w:val="24"/>
          <w:lang w:eastAsia="zh-CN"/>
        </w:rPr>
        <w:t>S</w:t>
      </w:r>
      <w:r>
        <w:rPr>
          <w:rFonts w:ascii="Times New Roman" w:hAnsi="Times New Roman" w:cs="Times New Roman"/>
          <w:sz w:val="24"/>
          <w:szCs w:val="24"/>
          <w:lang w:eastAsia="zh-CN"/>
        </w:rPr>
        <w:t>upplementary material for</w:t>
      </w:r>
    </w:p>
    <w:p w14:paraId="2FA61689" w14:textId="77777777" w:rsidR="006C79C5" w:rsidRDefault="006C79C5" w:rsidP="006C79C5">
      <w:pPr>
        <w:pStyle w:val="a7"/>
        <w:rPr>
          <w:rFonts w:ascii="Times New Roman" w:hAnsi="Times New Roman" w:cs="Times New Roman"/>
          <w:sz w:val="24"/>
          <w:szCs w:val="24"/>
        </w:rPr>
      </w:pPr>
    </w:p>
    <w:p w14:paraId="0685AF63" w14:textId="5A9C0CDB" w:rsidR="006C79C5" w:rsidRPr="00CB25C5" w:rsidRDefault="006C79C5" w:rsidP="006C79C5">
      <w:pPr>
        <w:pStyle w:val="a7"/>
        <w:rPr>
          <w:rFonts w:ascii="Times New Roman" w:hAnsi="Times New Roman" w:cs="Times New Roman"/>
          <w:sz w:val="27"/>
          <w:szCs w:val="27"/>
        </w:rPr>
      </w:pPr>
      <w:r>
        <w:rPr>
          <w:rFonts w:ascii="Times New Roman" w:hAnsi="Times New Roman" w:cs="Times New Roman"/>
          <w:sz w:val="24"/>
          <w:szCs w:val="24"/>
        </w:rPr>
        <w:t>Circulating exosome-derived miR-191-5p promote tumor progression and enhances radioresistance by targeting DAPK1 in e</w:t>
      </w:r>
      <w:r w:rsidRPr="00CB25C5">
        <w:rPr>
          <w:rFonts w:ascii="Times New Roman" w:hAnsi="Times New Roman" w:cs="Times New Roman"/>
          <w:sz w:val="24"/>
          <w:szCs w:val="24"/>
        </w:rPr>
        <w:t>sophageal squamous cell carcinoma</w:t>
      </w:r>
      <w:r>
        <w:rPr>
          <w:rFonts w:ascii="Times New Roman" w:hAnsi="Times New Roman" w:cs="Times New Roman"/>
          <w:sz w:val="24"/>
          <w:szCs w:val="24"/>
        </w:rPr>
        <w:t xml:space="preserve"> </w:t>
      </w:r>
    </w:p>
    <w:p w14:paraId="51A614B9" w14:textId="77777777" w:rsidR="006C79C5" w:rsidRPr="00CB25C5" w:rsidRDefault="006C79C5" w:rsidP="006C79C5">
      <w:pPr>
        <w:spacing w:line="480" w:lineRule="auto"/>
        <w:rPr>
          <w:rFonts w:ascii="Times New Roman" w:hAnsi="Times New Roman" w:cs="Times New Roman"/>
          <w:sz w:val="24"/>
          <w:szCs w:val="24"/>
        </w:rPr>
      </w:pPr>
      <w:r w:rsidRPr="00CB25C5">
        <w:rPr>
          <w:rFonts w:ascii="Times New Roman" w:hAnsi="Times New Roman" w:cs="Times New Roman"/>
          <w:sz w:val="24"/>
          <w:szCs w:val="24"/>
        </w:rPr>
        <w:t>Huan Wang</w:t>
      </w:r>
      <w:r w:rsidRPr="00CB25C5">
        <w:rPr>
          <w:rFonts w:ascii="Times New Roman" w:hAnsi="Times New Roman" w:cs="Times New Roman"/>
          <w:sz w:val="24"/>
          <w:szCs w:val="24"/>
          <w:vertAlign w:val="superscript"/>
        </w:rPr>
        <w:t>12</w:t>
      </w:r>
      <w:r w:rsidRPr="00CB25C5">
        <w:rPr>
          <w:rFonts w:ascii="Times New Roman" w:hAnsi="Times New Roman" w:cs="Times New Roman"/>
          <w:sz w:val="24"/>
          <w:szCs w:val="24"/>
        </w:rPr>
        <w:t>, Masayuki Kano</w:t>
      </w:r>
      <w:r w:rsidRPr="00CB25C5">
        <w:rPr>
          <w:rFonts w:ascii="Times New Roman" w:hAnsi="Times New Roman" w:cs="Times New Roman"/>
          <w:sz w:val="24"/>
          <w:szCs w:val="24"/>
          <w:vertAlign w:val="superscript"/>
        </w:rPr>
        <w:t>1</w:t>
      </w:r>
      <w:r w:rsidRPr="00CB25C5">
        <w:rPr>
          <w:rFonts w:ascii="Times New Roman" w:hAnsi="Times New Roman" w:cs="Times New Roman"/>
          <w:sz w:val="24"/>
          <w:szCs w:val="24"/>
        </w:rPr>
        <w:t>, Yasunori Matsumoto</w:t>
      </w:r>
      <w:r w:rsidRPr="00CB25C5">
        <w:rPr>
          <w:rFonts w:ascii="Times New Roman" w:hAnsi="Times New Roman" w:cs="Times New Roman"/>
          <w:sz w:val="24"/>
          <w:szCs w:val="24"/>
          <w:vertAlign w:val="superscript"/>
        </w:rPr>
        <w:t>1</w:t>
      </w:r>
      <w:r w:rsidRPr="00CB25C5">
        <w:rPr>
          <w:rFonts w:ascii="Times New Roman" w:hAnsi="Times New Roman" w:cs="Times New Roman"/>
          <w:sz w:val="24"/>
          <w:szCs w:val="24"/>
        </w:rPr>
        <w:t>, Takeshi Toyozumi</w:t>
      </w:r>
      <w:r w:rsidRPr="00CB25C5">
        <w:rPr>
          <w:rFonts w:ascii="Times New Roman" w:hAnsi="Times New Roman" w:cs="Times New Roman"/>
          <w:sz w:val="24"/>
          <w:szCs w:val="24"/>
          <w:vertAlign w:val="superscript"/>
        </w:rPr>
        <w:t>1</w:t>
      </w:r>
      <w:r w:rsidRPr="00CB25C5">
        <w:rPr>
          <w:rFonts w:ascii="Times New Roman" w:hAnsi="Times New Roman" w:cs="Times New Roman"/>
          <w:sz w:val="24"/>
          <w:szCs w:val="24"/>
        </w:rPr>
        <w:t>, Satoshi Endo</w:t>
      </w:r>
      <w:r w:rsidRPr="00CB25C5">
        <w:rPr>
          <w:rFonts w:ascii="Times New Roman" w:hAnsi="Times New Roman" w:cs="Times New Roman"/>
          <w:sz w:val="24"/>
          <w:szCs w:val="24"/>
          <w:vertAlign w:val="superscript"/>
        </w:rPr>
        <w:t>1</w:t>
      </w:r>
      <w:r w:rsidRPr="00CB25C5">
        <w:rPr>
          <w:rFonts w:ascii="Times New Roman" w:hAnsi="Times New Roman" w:cs="Times New Roman"/>
          <w:sz w:val="24"/>
          <w:szCs w:val="24"/>
        </w:rPr>
        <w:t>, Hiroshi Suito</w:t>
      </w:r>
      <w:r w:rsidRPr="00CB25C5">
        <w:rPr>
          <w:rFonts w:ascii="Times New Roman" w:hAnsi="Times New Roman" w:cs="Times New Roman"/>
          <w:sz w:val="24"/>
          <w:szCs w:val="24"/>
          <w:vertAlign w:val="superscript"/>
        </w:rPr>
        <w:t>1</w:t>
      </w:r>
      <w:r w:rsidRPr="00CB25C5">
        <w:rPr>
          <w:rFonts w:ascii="Times New Roman" w:hAnsi="Times New Roman" w:cs="Times New Roman"/>
          <w:sz w:val="24"/>
          <w:szCs w:val="24"/>
        </w:rPr>
        <w:t>, Toshiki Kamata</w:t>
      </w:r>
      <w:r w:rsidRPr="00CB25C5">
        <w:rPr>
          <w:rFonts w:ascii="Times New Roman" w:hAnsi="Times New Roman" w:cs="Times New Roman"/>
          <w:sz w:val="24"/>
          <w:szCs w:val="24"/>
          <w:vertAlign w:val="superscript"/>
        </w:rPr>
        <w:t>1</w:t>
      </w:r>
      <w:r w:rsidRPr="00CB25C5">
        <w:rPr>
          <w:rFonts w:ascii="Times New Roman" w:hAnsi="Times New Roman" w:cs="Times New Roman"/>
          <w:sz w:val="24"/>
          <w:szCs w:val="24"/>
        </w:rPr>
        <w:t>, Koichiro Okada</w:t>
      </w:r>
      <w:r w:rsidRPr="00CB25C5">
        <w:rPr>
          <w:rFonts w:ascii="Times New Roman" w:hAnsi="Times New Roman" w:cs="Times New Roman"/>
          <w:sz w:val="24"/>
          <w:szCs w:val="24"/>
          <w:vertAlign w:val="superscript"/>
        </w:rPr>
        <w:t>1</w:t>
      </w:r>
      <w:r w:rsidRPr="00CB25C5">
        <w:rPr>
          <w:rFonts w:ascii="Times New Roman" w:hAnsi="Times New Roman" w:cs="Times New Roman"/>
          <w:sz w:val="24"/>
          <w:szCs w:val="24"/>
        </w:rPr>
        <w:t>, Tadashi Shiraishi</w:t>
      </w:r>
      <w:r w:rsidRPr="00CB25C5">
        <w:rPr>
          <w:rFonts w:ascii="Times New Roman" w:hAnsi="Times New Roman" w:cs="Times New Roman"/>
          <w:sz w:val="24"/>
          <w:szCs w:val="24"/>
          <w:vertAlign w:val="superscript"/>
        </w:rPr>
        <w:t>1</w:t>
      </w:r>
      <w:r w:rsidRPr="00CB25C5">
        <w:rPr>
          <w:rFonts w:ascii="Times New Roman" w:hAnsi="Times New Roman" w:cs="Times New Roman"/>
          <w:sz w:val="24"/>
          <w:szCs w:val="24"/>
        </w:rPr>
        <w:t>, Hongxu Liu</w:t>
      </w:r>
      <w:r w:rsidRPr="00CB25C5">
        <w:rPr>
          <w:rFonts w:ascii="Times New Roman" w:hAnsi="Times New Roman" w:cs="Times New Roman"/>
          <w:sz w:val="24"/>
          <w:szCs w:val="24"/>
          <w:vertAlign w:val="superscript"/>
        </w:rPr>
        <w:t>2</w:t>
      </w:r>
      <w:r w:rsidRPr="00CB25C5">
        <w:rPr>
          <w:rFonts w:ascii="Times New Roman" w:hAnsi="Times New Roman" w:cs="Times New Roman"/>
          <w:sz w:val="24"/>
          <w:szCs w:val="24"/>
        </w:rPr>
        <w:t>, Takahiro Ryuzaki</w:t>
      </w:r>
      <w:r w:rsidRPr="00CB25C5">
        <w:rPr>
          <w:rFonts w:ascii="Times New Roman" w:hAnsi="Times New Roman" w:cs="Times New Roman"/>
          <w:sz w:val="24"/>
          <w:szCs w:val="24"/>
          <w:vertAlign w:val="superscript"/>
        </w:rPr>
        <w:t>1</w:t>
      </w:r>
      <w:r w:rsidRPr="00CB25C5">
        <w:rPr>
          <w:rFonts w:ascii="Times New Roman" w:hAnsi="Times New Roman" w:cs="Times New Roman"/>
          <w:sz w:val="24"/>
          <w:szCs w:val="24"/>
        </w:rPr>
        <w:t>, Soichiro Hirasawa</w:t>
      </w:r>
      <w:r w:rsidRPr="00CB25C5">
        <w:rPr>
          <w:rFonts w:ascii="Times New Roman" w:hAnsi="Times New Roman" w:cs="Times New Roman"/>
          <w:sz w:val="24"/>
          <w:szCs w:val="24"/>
          <w:vertAlign w:val="superscript"/>
        </w:rPr>
        <w:t>1</w:t>
      </w:r>
      <w:r w:rsidRPr="00CB25C5">
        <w:rPr>
          <w:rFonts w:ascii="Times New Roman" w:hAnsi="Times New Roman" w:cs="Times New Roman"/>
          <w:sz w:val="24"/>
          <w:szCs w:val="24"/>
        </w:rPr>
        <w:t>, Masaya Yokoyama</w:t>
      </w:r>
      <w:r w:rsidRPr="00CB25C5">
        <w:rPr>
          <w:rFonts w:ascii="Times New Roman" w:hAnsi="Times New Roman" w:cs="Times New Roman"/>
          <w:sz w:val="24"/>
          <w:szCs w:val="24"/>
          <w:vertAlign w:val="superscript"/>
        </w:rPr>
        <w:t>1</w:t>
      </w:r>
      <w:r w:rsidRPr="00CB25C5">
        <w:rPr>
          <w:rFonts w:ascii="Times New Roman" w:hAnsi="Times New Roman" w:cs="Times New Roman"/>
          <w:sz w:val="24"/>
          <w:szCs w:val="24"/>
        </w:rPr>
        <w:t>, Kazuya Kinoshita</w:t>
      </w:r>
      <w:r w:rsidRPr="00CB25C5">
        <w:rPr>
          <w:rFonts w:ascii="Times New Roman" w:hAnsi="Times New Roman" w:cs="Times New Roman"/>
          <w:sz w:val="24"/>
          <w:szCs w:val="24"/>
          <w:vertAlign w:val="superscript"/>
        </w:rPr>
        <w:t>1</w:t>
      </w:r>
      <w:r w:rsidRPr="00CB25C5">
        <w:rPr>
          <w:rFonts w:ascii="Times New Roman" w:hAnsi="Times New Roman" w:cs="Times New Roman"/>
          <w:sz w:val="24"/>
          <w:szCs w:val="24"/>
        </w:rPr>
        <w:t>, Keiko Iida</w:t>
      </w:r>
      <w:r w:rsidRPr="00CB25C5">
        <w:rPr>
          <w:rFonts w:ascii="Times New Roman" w:hAnsi="Times New Roman" w:cs="Times New Roman"/>
          <w:sz w:val="24"/>
          <w:szCs w:val="24"/>
          <w:vertAlign w:val="superscript"/>
        </w:rPr>
        <w:t>1</w:t>
      </w:r>
      <w:r w:rsidRPr="00CB25C5">
        <w:rPr>
          <w:rFonts w:ascii="Times New Roman" w:hAnsi="Times New Roman" w:cs="Times New Roman"/>
          <w:sz w:val="24"/>
          <w:szCs w:val="24"/>
        </w:rPr>
        <w:t>, Kentaro Murakami</w:t>
      </w:r>
      <w:r w:rsidRPr="00CB25C5">
        <w:rPr>
          <w:rFonts w:ascii="Times New Roman" w:hAnsi="Times New Roman" w:cs="Times New Roman"/>
          <w:sz w:val="24"/>
          <w:szCs w:val="24"/>
          <w:vertAlign w:val="superscript"/>
        </w:rPr>
        <w:t>1</w:t>
      </w:r>
      <w:r w:rsidRPr="00CB25C5">
        <w:rPr>
          <w:rFonts w:ascii="Times New Roman" w:hAnsi="Times New Roman" w:cs="Times New Roman"/>
          <w:sz w:val="24"/>
          <w:szCs w:val="24"/>
        </w:rPr>
        <w:t>, Haruhito Sakata</w:t>
      </w:r>
      <w:r w:rsidRPr="00CB25C5">
        <w:rPr>
          <w:rFonts w:ascii="Times New Roman" w:hAnsi="Times New Roman" w:cs="Times New Roman"/>
          <w:sz w:val="24"/>
          <w:szCs w:val="24"/>
          <w:vertAlign w:val="superscript"/>
        </w:rPr>
        <w:t>1</w:t>
      </w:r>
      <w:r w:rsidRPr="00CB25C5">
        <w:rPr>
          <w:rFonts w:ascii="Times New Roman" w:hAnsi="Times New Roman" w:cs="Times New Roman"/>
          <w:sz w:val="24"/>
          <w:szCs w:val="24"/>
        </w:rPr>
        <w:t>, and Hisahiro Matsubara</w:t>
      </w:r>
      <w:r w:rsidRPr="00CB25C5">
        <w:rPr>
          <w:rFonts w:ascii="Times New Roman" w:hAnsi="Times New Roman" w:cs="Times New Roman"/>
          <w:sz w:val="24"/>
          <w:szCs w:val="24"/>
          <w:vertAlign w:val="superscript"/>
        </w:rPr>
        <w:t>1</w:t>
      </w:r>
    </w:p>
    <w:p w14:paraId="6B75DA0A" w14:textId="77777777" w:rsidR="006C79C5" w:rsidRPr="00CB25C5" w:rsidRDefault="006C79C5" w:rsidP="006C79C5">
      <w:pPr>
        <w:spacing w:line="480" w:lineRule="auto"/>
        <w:jc w:val="center"/>
        <w:rPr>
          <w:rFonts w:ascii="Times New Roman" w:hAnsi="Times New Roman" w:cs="Times New Roman"/>
          <w:sz w:val="24"/>
          <w:szCs w:val="24"/>
        </w:rPr>
      </w:pPr>
    </w:p>
    <w:p w14:paraId="233AB3DC" w14:textId="77777777" w:rsidR="006C79C5" w:rsidRPr="00CB25C5" w:rsidRDefault="006C79C5" w:rsidP="006C79C5">
      <w:pPr>
        <w:spacing w:line="480" w:lineRule="auto"/>
        <w:jc w:val="left"/>
        <w:rPr>
          <w:rFonts w:ascii="Times New Roman" w:hAnsi="Times New Roman" w:cs="Times New Roman"/>
          <w:sz w:val="24"/>
          <w:szCs w:val="24"/>
        </w:rPr>
      </w:pPr>
      <w:r w:rsidRPr="00CB25C5">
        <w:rPr>
          <w:rFonts w:ascii="Times New Roman" w:hAnsi="Times New Roman" w:cs="Times New Roman"/>
          <w:sz w:val="24"/>
          <w:szCs w:val="24"/>
        </w:rPr>
        <w:t>1. Department of Frontier Surgery, Chiba University, Chiba, Japan.</w:t>
      </w:r>
    </w:p>
    <w:p w14:paraId="1E12CD13" w14:textId="77777777" w:rsidR="006C79C5" w:rsidRPr="00CB25C5" w:rsidRDefault="006C79C5" w:rsidP="006C79C5">
      <w:pPr>
        <w:spacing w:line="480" w:lineRule="auto"/>
        <w:jc w:val="left"/>
        <w:rPr>
          <w:rFonts w:ascii="Times New Roman" w:hAnsi="Times New Roman" w:cs="Times New Roman"/>
          <w:sz w:val="24"/>
          <w:szCs w:val="24"/>
        </w:rPr>
      </w:pPr>
      <w:r w:rsidRPr="00CB25C5">
        <w:rPr>
          <w:rFonts w:ascii="Times New Roman" w:hAnsi="Times New Roman" w:cs="Times New Roman"/>
          <w:sz w:val="24"/>
          <w:szCs w:val="24"/>
        </w:rPr>
        <w:t>2. Department of Thoracic Surgery, Cancer Hospital of China Medical University, Liaoning Cancer Hospital &amp; Institute, Shenyang, China.</w:t>
      </w:r>
    </w:p>
    <w:p w14:paraId="470A2A6E" w14:textId="7733DCC9" w:rsidR="00370947" w:rsidRDefault="00370947" w:rsidP="00950767">
      <w:pPr>
        <w:spacing w:line="480" w:lineRule="auto"/>
        <w:contextualSpacing/>
        <w:rPr>
          <w:rFonts w:ascii="Times New Roman" w:hAnsi="Times New Roman" w:cs="Times New Roman"/>
          <w:b/>
          <w:sz w:val="24"/>
          <w:szCs w:val="24"/>
        </w:rPr>
      </w:pPr>
    </w:p>
    <w:p w14:paraId="1BA9F066" w14:textId="617849C0" w:rsidR="006C79C5" w:rsidRDefault="006C79C5" w:rsidP="00950767">
      <w:pPr>
        <w:spacing w:line="480" w:lineRule="auto"/>
        <w:contextualSpacing/>
        <w:rPr>
          <w:rFonts w:ascii="Times New Roman" w:hAnsi="Times New Roman" w:cs="Times New Roman"/>
          <w:b/>
          <w:sz w:val="24"/>
          <w:szCs w:val="24"/>
        </w:rPr>
      </w:pPr>
    </w:p>
    <w:p w14:paraId="5EB23CA4" w14:textId="76CD3D03" w:rsidR="006C79C5" w:rsidRDefault="006C79C5" w:rsidP="00950767">
      <w:pPr>
        <w:spacing w:line="480" w:lineRule="auto"/>
        <w:contextualSpacing/>
        <w:rPr>
          <w:rFonts w:ascii="Times New Roman" w:hAnsi="Times New Roman" w:cs="Times New Roman"/>
          <w:b/>
          <w:sz w:val="24"/>
          <w:szCs w:val="24"/>
        </w:rPr>
      </w:pPr>
    </w:p>
    <w:p w14:paraId="3AAA8956" w14:textId="3B637BCA" w:rsidR="006C79C5" w:rsidRDefault="006C79C5" w:rsidP="00950767">
      <w:pPr>
        <w:spacing w:line="480" w:lineRule="auto"/>
        <w:contextualSpacing/>
        <w:rPr>
          <w:rFonts w:ascii="Times New Roman" w:hAnsi="Times New Roman" w:cs="Times New Roman"/>
          <w:b/>
          <w:sz w:val="24"/>
          <w:szCs w:val="24"/>
        </w:rPr>
      </w:pPr>
    </w:p>
    <w:p w14:paraId="7290BC29" w14:textId="358F718C" w:rsidR="006C79C5" w:rsidRDefault="006C79C5" w:rsidP="00950767">
      <w:pPr>
        <w:spacing w:line="480" w:lineRule="auto"/>
        <w:contextualSpacing/>
        <w:rPr>
          <w:rFonts w:ascii="Times New Roman" w:hAnsi="Times New Roman" w:cs="Times New Roman"/>
          <w:b/>
          <w:sz w:val="24"/>
          <w:szCs w:val="24"/>
        </w:rPr>
      </w:pPr>
    </w:p>
    <w:p w14:paraId="5B03DD0D" w14:textId="3E4429B8" w:rsidR="006C79C5" w:rsidRDefault="006C79C5" w:rsidP="00950767">
      <w:pPr>
        <w:spacing w:line="480" w:lineRule="auto"/>
        <w:contextualSpacing/>
        <w:rPr>
          <w:rFonts w:ascii="Times New Roman" w:hAnsi="Times New Roman" w:cs="Times New Roman"/>
          <w:b/>
          <w:sz w:val="24"/>
          <w:szCs w:val="24"/>
        </w:rPr>
      </w:pPr>
    </w:p>
    <w:p w14:paraId="58014432" w14:textId="43A20F86" w:rsidR="006C79C5" w:rsidRDefault="006C79C5" w:rsidP="00950767">
      <w:pPr>
        <w:spacing w:line="480" w:lineRule="auto"/>
        <w:contextualSpacing/>
        <w:rPr>
          <w:rFonts w:ascii="Times New Roman" w:hAnsi="Times New Roman" w:cs="Times New Roman"/>
          <w:b/>
          <w:sz w:val="24"/>
          <w:szCs w:val="24"/>
        </w:rPr>
      </w:pPr>
    </w:p>
    <w:p w14:paraId="3B3A6DF5" w14:textId="77777777" w:rsidR="006C79C5" w:rsidRPr="006C79C5" w:rsidRDefault="006C79C5" w:rsidP="00950767">
      <w:pPr>
        <w:spacing w:line="480" w:lineRule="auto"/>
        <w:contextualSpacing/>
        <w:rPr>
          <w:rFonts w:ascii="Times New Roman" w:hAnsi="Times New Roman" w:cs="Times New Roman"/>
          <w:b/>
          <w:sz w:val="24"/>
          <w:szCs w:val="24"/>
        </w:rPr>
      </w:pPr>
    </w:p>
    <w:p w14:paraId="6E2EFC7A" w14:textId="72E79034" w:rsidR="00370947" w:rsidRDefault="006C79C5" w:rsidP="00950767">
      <w:pPr>
        <w:spacing w:line="480" w:lineRule="auto"/>
        <w:contextualSpacing/>
        <w:rPr>
          <w:rFonts w:ascii="Times New Roman" w:hAnsi="Times New Roman" w:cs="Times New Roman"/>
          <w:b/>
          <w:sz w:val="24"/>
          <w:szCs w:val="24"/>
        </w:rPr>
      </w:pPr>
      <w:r>
        <w:rPr>
          <w:rFonts w:ascii="Times New Roman" w:hAnsi="Times New Roman" w:cs="Times New Roman" w:hint="eastAsia"/>
          <w:b/>
          <w:sz w:val="24"/>
          <w:szCs w:val="24"/>
        </w:rPr>
        <w:lastRenderedPageBreak/>
        <w:t>S</w:t>
      </w:r>
      <w:r>
        <w:rPr>
          <w:rFonts w:ascii="Times New Roman" w:hAnsi="Times New Roman" w:cs="Times New Roman"/>
          <w:b/>
          <w:sz w:val="24"/>
          <w:szCs w:val="24"/>
        </w:rPr>
        <w:t>upplementary methods</w:t>
      </w:r>
    </w:p>
    <w:p w14:paraId="0A674738" w14:textId="77777777" w:rsidR="006C79C5" w:rsidRPr="00F50D01" w:rsidRDefault="006C79C5" w:rsidP="006C79C5">
      <w:pPr>
        <w:spacing w:line="360" w:lineRule="auto"/>
        <w:contextualSpacing/>
        <w:rPr>
          <w:rFonts w:ascii="Times New Roman" w:eastAsia="Yu Mincho" w:hAnsi="Times New Roman" w:cs="Times New Roman"/>
          <w:bCs/>
          <w:iCs/>
          <w:sz w:val="24"/>
          <w:szCs w:val="24"/>
          <w:lang w:eastAsia="ja-JP"/>
        </w:rPr>
      </w:pPr>
      <w:r w:rsidRPr="00F50D01">
        <w:rPr>
          <w:rFonts w:ascii="Times New Roman" w:eastAsia="Yu Mincho" w:hAnsi="Times New Roman" w:cs="Times New Roman"/>
          <w:bCs/>
          <w:iCs/>
          <w:sz w:val="24"/>
          <w:szCs w:val="24"/>
          <w:lang w:eastAsia="ja-JP"/>
        </w:rPr>
        <w:t>Patients</w:t>
      </w:r>
    </w:p>
    <w:p w14:paraId="3723EB36" w14:textId="77777777" w:rsidR="006C79C5" w:rsidRPr="007E4A49" w:rsidRDefault="006C79C5" w:rsidP="006C79C5">
      <w:pPr>
        <w:spacing w:line="360" w:lineRule="auto"/>
        <w:ind w:firstLineChars="100" w:firstLine="240"/>
        <w:contextualSpacing/>
        <w:rPr>
          <w:rFonts w:ascii="Times New Roman" w:eastAsia="Yu Mincho" w:hAnsi="Times New Roman" w:cs="Times New Roman"/>
          <w:bCs/>
          <w:sz w:val="24"/>
          <w:szCs w:val="24"/>
          <w:lang w:eastAsia="ja-JP"/>
        </w:rPr>
      </w:pPr>
      <w:r w:rsidRPr="007E4A49">
        <w:rPr>
          <w:rFonts w:ascii="Times New Roman" w:eastAsia="Yu Mincho" w:hAnsi="Times New Roman" w:cs="Times New Roman"/>
          <w:bCs/>
          <w:sz w:val="24"/>
          <w:szCs w:val="24"/>
          <w:lang w:eastAsia="ja-JP"/>
        </w:rPr>
        <w:t xml:space="preserve">We retrospectively investigated the patients who received radiotherapy as an initial treatment with or without esophagectomy (with two- or three-field lymph node dissection, if necessary) between 2011 and 2017. The patient medical records and survival status were retrospectively reviewed in August 2018. Patients were deemed eligible for this study if they (1) had been pathologically diagnosed with ESCC, (2) were between 20 and 85 years of age, and (3) did not have any other kinds of cancer. The data of 67 patients were retrospectively examined after excluding the patients who did not meet these criteria. </w:t>
      </w:r>
    </w:p>
    <w:p w14:paraId="78035579" w14:textId="77777777" w:rsidR="006C79C5" w:rsidRDefault="006C79C5" w:rsidP="006C79C5">
      <w:pPr>
        <w:spacing w:line="360" w:lineRule="auto"/>
        <w:ind w:firstLineChars="100" w:firstLine="240"/>
        <w:contextualSpacing/>
        <w:rPr>
          <w:rFonts w:ascii="Times New Roman" w:eastAsia="Yu Mincho" w:hAnsi="Times New Roman" w:cs="Times New Roman"/>
          <w:bCs/>
          <w:sz w:val="24"/>
          <w:szCs w:val="24"/>
          <w:lang w:eastAsia="ja-JP"/>
        </w:rPr>
      </w:pPr>
      <w:r w:rsidRPr="007E4A49">
        <w:rPr>
          <w:rFonts w:ascii="Times New Roman" w:eastAsia="Yu Mincho" w:hAnsi="Times New Roman" w:cs="Times New Roman"/>
          <w:bCs/>
          <w:sz w:val="24"/>
          <w:szCs w:val="24"/>
          <w:lang w:eastAsia="ja-JP"/>
        </w:rPr>
        <w:t>The TNM system (UICC, 8th edition) was used to classify the ESCC stages in these patients. The TRG-PT was classified into 5 categories according to the ratio of viable cancer cells per tumor tissue, as follows: grade 0, no therapeutic effect; grade 1a, viable cancer cells ≥2/3; grade 1b, 1/3 ≤ viable cancer cells &lt;2/3; grade 2, viable cancer cells &lt;1/3; and grade 3, no viable cancer cells</w:t>
      </w:r>
      <w:r>
        <w:rPr>
          <w:rFonts w:ascii="Times New Roman" w:hAnsi="Times New Roman" w:cs="Times New Roman"/>
          <w:noProof/>
          <w:sz w:val="24"/>
          <w:szCs w:val="24"/>
        </w:rPr>
        <w:t>[1]</w:t>
      </w:r>
      <w:r w:rsidRPr="007E4A49">
        <w:rPr>
          <w:rFonts w:ascii="Times New Roman" w:eastAsia="Yu Mincho" w:hAnsi="Times New Roman" w:cs="Times New Roman"/>
          <w:bCs/>
          <w:sz w:val="24"/>
          <w:szCs w:val="24"/>
          <w:lang w:eastAsia="ja-JP"/>
        </w:rPr>
        <w:t xml:space="preserve">. The patient characteristics (age, sex, and pathological evaluation findings) are shown in </w:t>
      </w:r>
      <w:r>
        <w:rPr>
          <w:rFonts w:ascii="Times New Roman" w:eastAsia="Yu Mincho" w:hAnsi="Times New Roman" w:cs="Times New Roman"/>
          <w:bCs/>
          <w:sz w:val="24"/>
          <w:szCs w:val="24"/>
          <w:lang w:eastAsia="ja-JP"/>
        </w:rPr>
        <w:t xml:space="preserve">Table </w:t>
      </w:r>
      <w:r w:rsidRPr="00B053E4">
        <w:rPr>
          <w:rFonts w:ascii="Times New Roman" w:hAnsi="Times New Roman" w:cs="Times New Roman"/>
          <w:bCs/>
          <w:sz w:val="24"/>
          <w:szCs w:val="24"/>
        </w:rPr>
        <w:t>2</w:t>
      </w:r>
      <w:r w:rsidRPr="007E4A49">
        <w:rPr>
          <w:rFonts w:ascii="Times New Roman" w:eastAsia="Yu Mincho" w:hAnsi="Times New Roman" w:cs="Times New Roman"/>
          <w:bCs/>
          <w:sz w:val="24"/>
          <w:szCs w:val="24"/>
          <w:lang w:eastAsia="ja-JP"/>
        </w:rPr>
        <w:t>.</w:t>
      </w:r>
    </w:p>
    <w:p w14:paraId="38940464" w14:textId="42193055" w:rsidR="006C79C5" w:rsidRDefault="006C79C5" w:rsidP="00950767">
      <w:pPr>
        <w:spacing w:line="480" w:lineRule="auto"/>
        <w:contextualSpacing/>
        <w:rPr>
          <w:rFonts w:ascii="Times New Roman" w:hAnsi="Times New Roman" w:cs="Times New Roman"/>
          <w:b/>
          <w:sz w:val="24"/>
          <w:szCs w:val="24"/>
        </w:rPr>
      </w:pPr>
    </w:p>
    <w:p w14:paraId="5B5FF542" w14:textId="0B50D0A7" w:rsidR="006C79C5" w:rsidRDefault="006C79C5" w:rsidP="00950767">
      <w:pPr>
        <w:spacing w:line="480" w:lineRule="auto"/>
        <w:contextualSpacing/>
        <w:rPr>
          <w:rFonts w:ascii="Times New Roman" w:hAnsi="Times New Roman" w:cs="Times New Roman"/>
          <w:b/>
          <w:sz w:val="24"/>
          <w:szCs w:val="24"/>
        </w:rPr>
      </w:pPr>
    </w:p>
    <w:p w14:paraId="4D801DF3" w14:textId="77777777" w:rsidR="006C79C5" w:rsidRPr="00533FDC" w:rsidRDefault="006C79C5" w:rsidP="006C79C5">
      <w:pPr>
        <w:pStyle w:val="EndNoteBibliography"/>
        <w:spacing w:line="360" w:lineRule="auto"/>
        <w:ind w:left="720" w:hanging="720"/>
        <w:rPr>
          <w:rFonts w:ascii="Times New Roman" w:hAnsi="Times New Roman" w:cs="Times New Roman"/>
          <w:sz w:val="24"/>
          <w:szCs w:val="24"/>
        </w:rPr>
      </w:pPr>
      <w:r w:rsidRPr="00596B34">
        <w:rPr>
          <w:rFonts w:ascii="Times New Roman" w:hAnsi="Times New Roman" w:cs="Times New Roman"/>
          <w:sz w:val="24"/>
          <w:szCs w:val="24"/>
        </w:rPr>
        <w:t>1.</w:t>
      </w:r>
      <w:r w:rsidRPr="00596B34">
        <w:rPr>
          <w:rFonts w:ascii="Times New Roman" w:hAnsi="Times New Roman" w:cs="Times New Roman"/>
          <w:sz w:val="24"/>
          <w:szCs w:val="24"/>
        </w:rPr>
        <w:tab/>
      </w:r>
      <w:r w:rsidRPr="00533FDC">
        <w:rPr>
          <w:rFonts w:ascii="Times New Roman" w:hAnsi="Times New Roman" w:cs="Times New Roman"/>
          <w:sz w:val="24"/>
          <w:szCs w:val="24"/>
        </w:rPr>
        <w:t>Kadota T, Hatogai K, Yano T, Fujita T, Kojima T, Daiko H</w:t>
      </w:r>
      <w:r w:rsidRPr="00533FDC">
        <w:rPr>
          <w:rFonts w:ascii="Times New Roman" w:hAnsi="Times New Roman" w:cs="Times New Roman"/>
          <w:i/>
          <w:sz w:val="24"/>
          <w:szCs w:val="24"/>
        </w:rPr>
        <w:t xml:space="preserve"> et al</w:t>
      </w:r>
      <w:r w:rsidRPr="00533FDC">
        <w:rPr>
          <w:rFonts w:ascii="Times New Roman" w:hAnsi="Times New Roman" w:cs="Times New Roman"/>
          <w:sz w:val="24"/>
          <w:szCs w:val="24"/>
        </w:rPr>
        <w:t xml:space="preserve">: Pathological tumor regression grade of metastatic tumors in lymph node predicts prognosis in esophageal cancer patients. </w:t>
      </w:r>
      <w:r w:rsidRPr="00533FDC">
        <w:rPr>
          <w:rFonts w:ascii="Times New Roman" w:hAnsi="Times New Roman" w:cs="Times New Roman"/>
          <w:i/>
          <w:sz w:val="24"/>
          <w:szCs w:val="24"/>
        </w:rPr>
        <w:t xml:space="preserve">Cancer Sci </w:t>
      </w:r>
      <w:r w:rsidRPr="00533FDC">
        <w:rPr>
          <w:rFonts w:ascii="Times New Roman" w:hAnsi="Times New Roman" w:cs="Times New Roman"/>
          <w:sz w:val="24"/>
          <w:szCs w:val="24"/>
        </w:rPr>
        <w:t>2018, 109(6):2046-2055.</w:t>
      </w:r>
    </w:p>
    <w:p w14:paraId="4709CDF1" w14:textId="77777777" w:rsidR="006C79C5" w:rsidRPr="00CB56CF" w:rsidRDefault="006C79C5" w:rsidP="006C79C5">
      <w:pPr>
        <w:spacing w:line="360" w:lineRule="auto"/>
        <w:rPr>
          <w:rFonts w:ascii="Times New Roman" w:hAnsi="Times New Roman" w:cs="Times New Roman"/>
          <w:sz w:val="24"/>
          <w:szCs w:val="24"/>
        </w:rPr>
      </w:pPr>
    </w:p>
    <w:p w14:paraId="36614AD2" w14:textId="77777777" w:rsidR="006C79C5" w:rsidRPr="006C79C5" w:rsidRDefault="006C79C5" w:rsidP="00950767">
      <w:pPr>
        <w:spacing w:line="480" w:lineRule="auto"/>
        <w:contextualSpacing/>
        <w:rPr>
          <w:rFonts w:ascii="Times New Roman" w:hAnsi="Times New Roman" w:cs="Times New Roman"/>
          <w:b/>
          <w:sz w:val="24"/>
          <w:szCs w:val="24"/>
        </w:rPr>
      </w:pPr>
    </w:p>
    <w:p w14:paraId="4FED3822" w14:textId="77777777" w:rsidR="00370947" w:rsidRDefault="00370947" w:rsidP="00950767">
      <w:pPr>
        <w:spacing w:line="480" w:lineRule="auto"/>
        <w:contextualSpacing/>
        <w:rPr>
          <w:rFonts w:ascii="Times New Roman" w:hAnsi="Times New Roman" w:cs="Times New Roman"/>
          <w:b/>
          <w:sz w:val="24"/>
          <w:szCs w:val="24"/>
        </w:rPr>
      </w:pPr>
    </w:p>
    <w:p w14:paraId="4951469D" w14:textId="77777777" w:rsidR="00370947" w:rsidRDefault="00370947" w:rsidP="00950767">
      <w:pPr>
        <w:spacing w:line="480" w:lineRule="auto"/>
        <w:contextualSpacing/>
        <w:rPr>
          <w:rFonts w:ascii="Times New Roman" w:hAnsi="Times New Roman" w:cs="Times New Roman"/>
          <w:b/>
          <w:sz w:val="24"/>
          <w:szCs w:val="24"/>
        </w:rPr>
      </w:pPr>
    </w:p>
    <w:p w14:paraId="2B484059" w14:textId="77777777" w:rsidR="00370947" w:rsidRDefault="00370947" w:rsidP="00950767">
      <w:pPr>
        <w:spacing w:line="480" w:lineRule="auto"/>
        <w:contextualSpacing/>
        <w:rPr>
          <w:rFonts w:ascii="Times New Roman" w:hAnsi="Times New Roman" w:cs="Times New Roman"/>
          <w:b/>
          <w:sz w:val="24"/>
          <w:szCs w:val="24"/>
        </w:rPr>
      </w:pPr>
    </w:p>
    <w:p w14:paraId="66A61CB4" w14:textId="5E2E6825" w:rsidR="00370947" w:rsidRDefault="00370947" w:rsidP="00950767">
      <w:pPr>
        <w:spacing w:line="480" w:lineRule="auto"/>
        <w:contextualSpacing/>
        <w:rPr>
          <w:rFonts w:ascii="Times New Roman" w:hAnsi="Times New Roman" w:cs="Times New Roman"/>
          <w:b/>
          <w:sz w:val="24"/>
          <w:szCs w:val="24"/>
        </w:rPr>
      </w:pPr>
    </w:p>
    <w:p w14:paraId="355E4C3A" w14:textId="3F472466" w:rsidR="006C79C5" w:rsidRDefault="006C79C5" w:rsidP="00950767">
      <w:pPr>
        <w:spacing w:line="480" w:lineRule="auto"/>
        <w:contextualSpacing/>
        <w:rPr>
          <w:rFonts w:ascii="Times New Roman" w:hAnsi="Times New Roman" w:cs="Times New Roman"/>
          <w:b/>
          <w:sz w:val="24"/>
          <w:szCs w:val="24"/>
        </w:rPr>
      </w:pPr>
      <w:r>
        <w:rPr>
          <w:rFonts w:ascii="Times New Roman" w:hAnsi="Times New Roman" w:cs="Times New Roman" w:hint="eastAsia"/>
          <w:b/>
          <w:sz w:val="24"/>
          <w:szCs w:val="24"/>
        </w:rPr>
        <w:lastRenderedPageBreak/>
        <w:t>S</w:t>
      </w:r>
      <w:r>
        <w:rPr>
          <w:rFonts w:ascii="Times New Roman" w:hAnsi="Times New Roman" w:cs="Times New Roman"/>
          <w:b/>
          <w:sz w:val="24"/>
          <w:szCs w:val="24"/>
        </w:rPr>
        <w:t>upplementary figure legends</w:t>
      </w:r>
    </w:p>
    <w:p w14:paraId="274C41C3" w14:textId="79E6210D" w:rsidR="006C79C5" w:rsidRDefault="006C79C5" w:rsidP="00950767">
      <w:pPr>
        <w:spacing w:line="480" w:lineRule="auto"/>
        <w:contextualSpacing/>
        <w:rPr>
          <w:rFonts w:ascii="Times New Roman" w:hAnsi="Times New Roman" w:cs="Times New Roman"/>
          <w:b/>
          <w:sz w:val="24"/>
          <w:szCs w:val="24"/>
        </w:rPr>
      </w:pPr>
      <w:r w:rsidRPr="007E4A49">
        <w:rPr>
          <w:rFonts w:ascii="Times New Roman" w:hAnsi="Times New Roman" w:cs="Times New Roman"/>
          <w:b/>
          <w:sz w:val="24"/>
          <w:szCs w:val="24"/>
        </w:rPr>
        <w:t xml:space="preserve">Figure </w:t>
      </w:r>
      <w:r>
        <w:rPr>
          <w:rFonts w:ascii="Times New Roman" w:hAnsi="Times New Roman" w:cs="Times New Roman"/>
          <w:b/>
          <w:sz w:val="24"/>
          <w:szCs w:val="24"/>
        </w:rPr>
        <w:t>S1</w:t>
      </w:r>
      <w:r w:rsidRPr="007E4A49">
        <w:rPr>
          <w:rFonts w:ascii="Times New Roman" w:hAnsi="Times New Roman" w:cs="Times New Roman"/>
          <w:b/>
          <w:sz w:val="24"/>
          <w:szCs w:val="24"/>
        </w:rPr>
        <w:t>.</w:t>
      </w:r>
      <w:r w:rsidRPr="00555CE4">
        <w:rPr>
          <w:rFonts w:ascii="Times New Roman" w:hAnsi="Times New Roman" w:cs="Times New Roman"/>
          <w:bCs/>
          <w:sz w:val="24"/>
          <w:szCs w:val="24"/>
        </w:rPr>
        <w:t xml:space="preserve"> qRT-PCR of miR-191</w:t>
      </w:r>
      <w:r w:rsidR="00121A9E">
        <w:rPr>
          <w:rFonts w:ascii="Times New Roman" w:hAnsi="Times New Roman" w:cs="Times New Roman" w:hint="eastAsia"/>
          <w:bCs/>
          <w:sz w:val="24"/>
          <w:szCs w:val="24"/>
        </w:rPr>
        <w:t>-5p</w:t>
      </w:r>
      <w:r w:rsidRPr="00555CE4">
        <w:rPr>
          <w:rFonts w:ascii="Times New Roman" w:hAnsi="Times New Roman" w:cs="Times New Roman"/>
          <w:bCs/>
          <w:sz w:val="24"/>
          <w:szCs w:val="24"/>
        </w:rPr>
        <w:t xml:space="preserve"> expression in TE11 and KYSE-960 transfected miR-191</w:t>
      </w:r>
      <w:r w:rsidR="00121A9E">
        <w:rPr>
          <w:rFonts w:ascii="Times New Roman" w:hAnsi="Times New Roman" w:cs="Times New Roman"/>
          <w:bCs/>
          <w:sz w:val="24"/>
          <w:szCs w:val="24"/>
        </w:rPr>
        <w:t>-5p</w:t>
      </w:r>
      <w:r>
        <w:rPr>
          <w:rFonts w:ascii="Times New Roman" w:hAnsi="Times New Roman" w:cs="Times New Roman"/>
          <w:bCs/>
          <w:sz w:val="24"/>
          <w:szCs w:val="24"/>
        </w:rPr>
        <w:t xml:space="preserve"> </w:t>
      </w:r>
      <w:r w:rsidRPr="00555CE4">
        <w:rPr>
          <w:rFonts w:ascii="Times New Roman" w:hAnsi="Times New Roman" w:cs="Times New Roman"/>
          <w:bCs/>
          <w:sz w:val="24"/>
          <w:szCs w:val="24"/>
        </w:rPr>
        <w:t>or negative control.</w:t>
      </w:r>
      <w:r>
        <w:rPr>
          <w:rFonts w:ascii="Times New Roman" w:hAnsi="Times New Roman" w:cs="Times New Roman"/>
          <w:bCs/>
          <w:sz w:val="24"/>
          <w:szCs w:val="24"/>
        </w:rPr>
        <w:t xml:space="preserve"> </w:t>
      </w:r>
      <w:r w:rsidRPr="00CB25C5">
        <w:rPr>
          <w:rFonts w:ascii="Times New Roman" w:eastAsia="宋体" w:hAnsi="Times New Roman" w:cs="Times New Roman"/>
          <w:bCs/>
          <w:sz w:val="24"/>
          <w:szCs w:val="24"/>
        </w:rPr>
        <w:t>The cell lines TE11 and KYSE-960 were seeded into 6-well plates (2.5</w:t>
      </w:r>
      <w:bookmarkStart w:id="1" w:name="OLE_LINK116"/>
      <w:bookmarkStart w:id="2" w:name="OLE_LINK115"/>
      <w:bookmarkStart w:id="3" w:name="OLE_LINK114"/>
      <w:r w:rsidRPr="00CB25C5">
        <w:rPr>
          <w:rFonts w:ascii="Times New Roman" w:hAnsi="Times New Roman" w:cs="Times New Roman"/>
          <w:bCs/>
          <w:color w:val="000000" w:themeColor="text1"/>
          <w:sz w:val="24"/>
          <w:szCs w:val="24"/>
        </w:rPr>
        <w:t>×</w:t>
      </w:r>
      <w:bookmarkEnd w:id="1"/>
      <w:bookmarkEnd w:id="2"/>
      <w:bookmarkEnd w:id="3"/>
      <w:r w:rsidRPr="00CB25C5">
        <w:rPr>
          <w:rFonts w:ascii="Times New Roman" w:eastAsia="宋体" w:hAnsi="Times New Roman" w:cs="Times New Roman"/>
          <w:bCs/>
          <w:color w:val="000000" w:themeColor="text1"/>
          <w:sz w:val="24"/>
          <w:szCs w:val="24"/>
        </w:rPr>
        <w:t>10</w:t>
      </w:r>
      <w:r w:rsidRPr="00CB25C5">
        <w:rPr>
          <w:rFonts w:ascii="Times New Roman" w:eastAsia="宋体" w:hAnsi="Times New Roman" w:cs="Times New Roman"/>
          <w:bCs/>
          <w:color w:val="000000" w:themeColor="text1"/>
          <w:sz w:val="24"/>
          <w:szCs w:val="24"/>
          <w:vertAlign w:val="superscript"/>
        </w:rPr>
        <w:t xml:space="preserve">5 </w:t>
      </w:r>
      <w:r w:rsidRPr="00CB25C5">
        <w:rPr>
          <w:rFonts w:ascii="Times New Roman" w:eastAsia="宋体" w:hAnsi="Times New Roman" w:cs="Times New Roman"/>
          <w:bCs/>
          <w:color w:val="000000" w:themeColor="text1"/>
          <w:sz w:val="24"/>
          <w:szCs w:val="24"/>
        </w:rPr>
        <w:t xml:space="preserve">cells per well), and after 24 h, cells were transfected with miR-191 mimic or negative control mimic using </w:t>
      </w:r>
      <w:bookmarkStart w:id="4" w:name="OLE_LINK76"/>
      <w:r w:rsidRPr="00CB25C5">
        <w:rPr>
          <w:rFonts w:ascii="Times New Roman" w:eastAsia="宋体" w:hAnsi="Times New Roman" w:cs="Times New Roman"/>
          <w:bCs/>
          <w:color w:val="000000" w:themeColor="text1"/>
          <w:sz w:val="24"/>
          <w:szCs w:val="24"/>
        </w:rPr>
        <w:t>Lipofectamine</w:t>
      </w:r>
      <w:r w:rsidRPr="00CB25C5">
        <w:rPr>
          <w:rFonts w:ascii="Times New Roman" w:eastAsia="宋体" w:hAnsi="Times New Roman" w:cs="Times New Roman"/>
          <w:bCs/>
          <w:color w:val="000000" w:themeColor="text1"/>
          <w:sz w:val="24"/>
          <w:szCs w:val="24"/>
          <w:vertAlign w:val="superscript"/>
        </w:rPr>
        <w:t>TM</w:t>
      </w:r>
      <w:r w:rsidRPr="00CB25C5">
        <w:rPr>
          <w:rFonts w:ascii="Times New Roman" w:eastAsia="宋体" w:hAnsi="Times New Roman" w:cs="Times New Roman"/>
          <w:bCs/>
          <w:color w:val="000000" w:themeColor="text1"/>
          <w:sz w:val="24"/>
          <w:szCs w:val="24"/>
        </w:rPr>
        <w:t xml:space="preserve"> RNAi-MAX</w:t>
      </w:r>
      <w:bookmarkEnd w:id="4"/>
      <w:r>
        <w:rPr>
          <w:rFonts w:ascii="Times New Roman" w:eastAsia="宋体" w:hAnsi="Times New Roman" w:cs="Times New Roman"/>
          <w:bCs/>
          <w:color w:val="000000" w:themeColor="text1"/>
          <w:sz w:val="24"/>
          <w:szCs w:val="24"/>
        </w:rPr>
        <w:t>.</w:t>
      </w:r>
    </w:p>
    <w:p w14:paraId="26984B02" w14:textId="3B824B0B" w:rsidR="006C79C5" w:rsidRDefault="006C79C5" w:rsidP="00950767">
      <w:pPr>
        <w:spacing w:line="480" w:lineRule="auto"/>
        <w:contextualSpacing/>
        <w:rPr>
          <w:rFonts w:ascii="Times New Roman" w:hAnsi="Times New Roman" w:cs="Times New Roman"/>
          <w:b/>
          <w:sz w:val="24"/>
          <w:szCs w:val="24"/>
        </w:rPr>
      </w:pPr>
    </w:p>
    <w:p w14:paraId="1085AB22" w14:textId="28C5B43A" w:rsidR="006C79C5" w:rsidRDefault="006C79C5" w:rsidP="00950767">
      <w:pPr>
        <w:spacing w:line="480" w:lineRule="auto"/>
        <w:contextualSpacing/>
        <w:rPr>
          <w:rFonts w:ascii="Times New Roman" w:hAnsi="Times New Roman" w:cs="Times New Roman"/>
          <w:b/>
          <w:sz w:val="24"/>
          <w:szCs w:val="24"/>
        </w:rPr>
      </w:pPr>
    </w:p>
    <w:p w14:paraId="2567E317" w14:textId="46221145" w:rsidR="00950767" w:rsidRDefault="00950767" w:rsidP="00950767">
      <w:pPr>
        <w:spacing w:line="480" w:lineRule="auto"/>
        <w:contextualSpacing/>
        <w:rPr>
          <w:rFonts w:ascii="Times New Roman" w:eastAsia="Times New Roman" w:hAnsi="Times New Roman" w:cs="Times New Roman"/>
          <w:bCs/>
          <w:color w:val="000000"/>
          <w:sz w:val="24"/>
          <w:szCs w:val="24"/>
        </w:rPr>
      </w:pPr>
      <w:r w:rsidRPr="007E4A49">
        <w:rPr>
          <w:rFonts w:ascii="Times New Roman" w:hAnsi="Times New Roman" w:cs="Times New Roman"/>
          <w:b/>
          <w:sz w:val="24"/>
          <w:szCs w:val="24"/>
        </w:rPr>
        <w:t xml:space="preserve">Figure </w:t>
      </w:r>
      <w:r w:rsidR="00370947">
        <w:rPr>
          <w:rFonts w:ascii="Times New Roman" w:hAnsi="Times New Roman" w:cs="Times New Roman"/>
          <w:b/>
          <w:sz w:val="24"/>
          <w:szCs w:val="24"/>
        </w:rPr>
        <w:t>S2</w:t>
      </w:r>
      <w:r w:rsidRPr="007E4A49">
        <w:rPr>
          <w:rFonts w:ascii="Times New Roman" w:hAnsi="Times New Roman" w:cs="Times New Roman"/>
          <w:b/>
          <w:sz w:val="24"/>
          <w:szCs w:val="24"/>
        </w:rPr>
        <w:t>.</w:t>
      </w:r>
      <w:r w:rsidRPr="007E4A49">
        <w:rPr>
          <w:rFonts w:ascii="Times New Roman" w:hAnsi="Times New Roman" w:cs="Times New Roman"/>
          <w:bCs/>
          <w:sz w:val="24"/>
          <w:szCs w:val="24"/>
        </w:rPr>
        <w:t xml:space="preserve"> </w:t>
      </w:r>
      <w:bookmarkStart w:id="5" w:name="OLE_LINK89"/>
      <w:r w:rsidRPr="007E4A49">
        <w:rPr>
          <w:rFonts w:ascii="Times New Roman" w:hAnsi="Times New Roman" w:cs="Times New Roman"/>
          <w:bCs/>
          <w:sz w:val="24"/>
          <w:szCs w:val="24"/>
        </w:rPr>
        <w:t>TE11 (A) and KYSE-960 (</w:t>
      </w:r>
      <w:bookmarkEnd w:id="5"/>
      <w:r w:rsidRPr="007E4A49">
        <w:rPr>
          <w:rFonts w:ascii="Times New Roman" w:hAnsi="Times New Roman" w:cs="Times New Roman"/>
          <w:bCs/>
          <w:sz w:val="24"/>
          <w:szCs w:val="24"/>
        </w:rPr>
        <w:t>B) were transfected with miR-191</w:t>
      </w:r>
      <w:r w:rsidR="00121A9E">
        <w:rPr>
          <w:rFonts w:ascii="Times New Roman" w:hAnsi="Times New Roman" w:cs="Times New Roman"/>
          <w:bCs/>
          <w:sz w:val="24"/>
          <w:szCs w:val="24"/>
        </w:rPr>
        <w:t>-5p</w:t>
      </w:r>
      <w:bookmarkStart w:id="6" w:name="_GoBack"/>
      <w:bookmarkEnd w:id="6"/>
      <w:r w:rsidRPr="007E4A49">
        <w:rPr>
          <w:rFonts w:ascii="Times New Roman" w:hAnsi="Times New Roman" w:cs="Times New Roman"/>
          <w:bCs/>
          <w:sz w:val="24"/>
          <w:szCs w:val="24"/>
        </w:rPr>
        <w:t xml:space="preserve"> or negative control. At 48 h after transfection, cells were starved for 24 h and then harvested. The cell cycle distributions of TE11 and KYSE-960 were measured using flow cytometry. </w:t>
      </w:r>
      <w:r w:rsidRPr="007E4A49">
        <w:rPr>
          <w:rFonts w:ascii="Times New Roman" w:eastAsia="Times New Roman" w:hAnsi="Times New Roman" w:cs="Times New Roman"/>
          <w:bCs/>
          <w:color w:val="000000"/>
          <w:sz w:val="24"/>
          <w:szCs w:val="24"/>
        </w:rPr>
        <w:t>**P</w:t>
      </w:r>
      <w:r w:rsidRPr="007E4A49">
        <w:rPr>
          <w:rFonts w:ascii="Times New Roman" w:eastAsia="MS Mincho" w:hAnsi="Times New Roman" w:cs="Times New Roman"/>
          <w:bCs/>
          <w:color w:val="000000"/>
          <w:sz w:val="24"/>
          <w:szCs w:val="24"/>
        </w:rPr>
        <w:t> </w:t>
      </w:r>
      <w:r w:rsidRPr="007E4A49">
        <w:rPr>
          <w:rFonts w:ascii="Times New Roman" w:eastAsia="Times New Roman" w:hAnsi="Times New Roman" w:cs="Times New Roman"/>
          <w:bCs/>
          <w:color w:val="000000"/>
          <w:sz w:val="24"/>
          <w:szCs w:val="24"/>
        </w:rPr>
        <w:t>&lt;</w:t>
      </w:r>
      <w:r w:rsidRPr="007E4A49">
        <w:rPr>
          <w:rFonts w:ascii="Times New Roman" w:eastAsia="MS Mincho" w:hAnsi="Times New Roman" w:cs="Times New Roman"/>
          <w:bCs/>
          <w:color w:val="000000"/>
          <w:sz w:val="24"/>
          <w:szCs w:val="24"/>
        </w:rPr>
        <w:t> </w:t>
      </w:r>
      <w:r w:rsidRPr="007E4A49">
        <w:rPr>
          <w:rFonts w:ascii="Times New Roman" w:eastAsia="Times New Roman" w:hAnsi="Times New Roman" w:cs="Times New Roman"/>
          <w:bCs/>
          <w:color w:val="000000"/>
          <w:sz w:val="24"/>
          <w:szCs w:val="24"/>
        </w:rPr>
        <w:t>0.01 compared with the negative control.</w:t>
      </w:r>
    </w:p>
    <w:p w14:paraId="2ECAFFE0" w14:textId="3CC6FF3B" w:rsidR="006C79C5" w:rsidRDefault="006C79C5" w:rsidP="00950767">
      <w:pPr>
        <w:spacing w:line="480" w:lineRule="auto"/>
        <w:contextualSpacing/>
        <w:rPr>
          <w:rFonts w:ascii="Times New Roman" w:hAnsi="Times New Roman" w:cs="Times New Roman"/>
          <w:bCs/>
          <w:color w:val="000000"/>
          <w:sz w:val="24"/>
          <w:szCs w:val="24"/>
        </w:rPr>
      </w:pPr>
    </w:p>
    <w:p w14:paraId="393A3F85" w14:textId="0AA396EE" w:rsidR="006C79C5" w:rsidRDefault="006C79C5" w:rsidP="00950767">
      <w:pPr>
        <w:spacing w:line="480" w:lineRule="auto"/>
        <w:contextualSpacing/>
        <w:rPr>
          <w:rFonts w:ascii="Times New Roman" w:hAnsi="Times New Roman" w:cs="Times New Roman"/>
          <w:bCs/>
          <w:color w:val="000000"/>
          <w:sz w:val="24"/>
          <w:szCs w:val="24"/>
        </w:rPr>
      </w:pPr>
    </w:p>
    <w:p w14:paraId="40E1D21F" w14:textId="3246C8CD" w:rsidR="006C79C5" w:rsidRDefault="006C79C5" w:rsidP="00950767">
      <w:pPr>
        <w:spacing w:line="480" w:lineRule="auto"/>
        <w:contextualSpacing/>
        <w:rPr>
          <w:rFonts w:ascii="Times New Roman" w:hAnsi="Times New Roman" w:cs="Times New Roman"/>
          <w:bCs/>
          <w:color w:val="000000"/>
          <w:sz w:val="24"/>
          <w:szCs w:val="24"/>
        </w:rPr>
      </w:pPr>
    </w:p>
    <w:p w14:paraId="60923CA2" w14:textId="652CFCB9" w:rsidR="006C79C5" w:rsidRDefault="006C79C5" w:rsidP="00950767">
      <w:pPr>
        <w:spacing w:line="480" w:lineRule="auto"/>
        <w:contextualSpacing/>
        <w:rPr>
          <w:rFonts w:ascii="Times New Roman" w:hAnsi="Times New Roman" w:cs="Times New Roman"/>
          <w:bCs/>
          <w:color w:val="000000"/>
          <w:sz w:val="24"/>
          <w:szCs w:val="24"/>
        </w:rPr>
      </w:pPr>
    </w:p>
    <w:p w14:paraId="09E8384D" w14:textId="2CC49573" w:rsidR="006C79C5" w:rsidRDefault="006C79C5" w:rsidP="00950767">
      <w:pPr>
        <w:spacing w:line="480" w:lineRule="auto"/>
        <w:contextualSpacing/>
        <w:rPr>
          <w:rFonts w:ascii="Times New Roman" w:hAnsi="Times New Roman" w:cs="Times New Roman"/>
          <w:bCs/>
          <w:color w:val="000000"/>
          <w:sz w:val="24"/>
          <w:szCs w:val="24"/>
        </w:rPr>
      </w:pPr>
    </w:p>
    <w:p w14:paraId="0CA62E74" w14:textId="5E50CB2A" w:rsidR="006C79C5" w:rsidRDefault="006C79C5" w:rsidP="00950767">
      <w:pPr>
        <w:spacing w:line="480" w:lineRule="auto"/>
        <w:contextualSpacing/>
        <w:rPr>
          <w:rFonts w:ascii="Times New Roman" w:hAnsi="Times New Roman" w:cs="Times New Roman"/>
          <w:bCs/>
          <w:color w:val="000000"/>
          <w:sz w:val="24"/>
          <w:szCs w:val="24"/>
        </w:rPr>
      </w:pPr>
    </w:p>
    <w:p w14:paraId="5C8EFED8" w14:textId="74D39695" w:rsidR="006C79C5" w:rsidRDefault="006C79C5" w:rsidP="00950767">
      <w:pPr>
        <w:spacing w:line="480" w:lineRule="auto"/>
        <w:contextualSpacing/>
        <w:rPr>
          <w:rFonts w:ascii="Times New Roman" w:hAnsi="Times New Roman" w:cs="Times New Roman"/>
          <w:bCs/>
          <w:color w:val="000000"/>
          <w:sz w:val="24"/>
          <w:szCs w:val="24"/>
        </w:rPr>
      </w:pPr>
    </w:p>
    <w:p w14:paraId="7444C477" w14:textId="0D3210A1" w:rsidR="006C79C5" w:rsidRDefault="006C79C5" w:rsidP="00950767">
      <w:pPr>
        <w:spacing w:line="480" w:lineRule="auto"/>
        <w:contextualSpacing/>
        <w:rPr>
          <w:rFonts w:ascii="Times New Roman" w:hAnsi="Times New Roman" w:cs="Times New Roman"/>
          <w:bCs/>
          <w:color w:val="000000"/>
          <w:sz w:val="24"/>
          <w:szCs w:val="24"/>
        </w:rPr>
      </w:pPr>
    </w:p>
    <w:p w14:paraId="54B4ACA8" w14:textId="32507D67" w:rsidR="006C79C5" w:rsidRDefault="006C79C5" w:rsidP="00950767">
      <w:pPr>
        <w:spacing w:line="480" w:lineRule="auto"/>
        <w:contextualSpacing/>
        <w:rPr>
          <w:rFonts w:ascii="Times New Roman" w:hAnsi="Times New Roman" w:cs="Times New Roman"/>
          <w:bCs/>
          <w:color w:val="000000"/>
          <w:sz w:val="24"/>
          <w:szCs w:val="24"/>
        </w:rPr>
      </w:pPr>
    </w:p>
    <w:p w14:paraId="54E7A020" w14:textId="54F6BEF2" w:rsidR="006C79C5" w:rsidRDefault="006C79C5" w:rsidP="00950767">
      <w:pPr>
        <w:spacing w:line="480" w:lineRule="auto"/>
        <w:contextualSpacing/>
        <w:rPr>
          <w:rFonts w:ascii="Times New Roman" w:hAnsi="Times New Roman" w:cs="Times New Roman"/>
          <w:bCs/>
          <w:color w:val="000000"/>
          <w:sz w:val="24"/>
          <w:szCs w:val="24"/>
        </w:rPr>
      </w:pPr>
    </w:p>
    <w:p w14:paraId="19082328" w14:textId="683975D1" w:rsidR="006C79C5" w:rsidRDefault="006C79C5" w:rsidP="00950767">
      <w:pPr>
        <w:spacing w:line="480" w:lineRule="auto"/>
        <w:contextualSpacing/>
        <w:rPr>
          <w:rFonts w:ascii="Times New Roman" w:hAnsi="Times New Roman" w:cs="Times New Roman"/>
          <w:bCs/>
          <w:color w:val="000000"/>
          <w:sz w:val="24"/>
          <w:szCs w:val="24"/>
        </w:rPr>
      </w:pPr>
    </w:p>
    <w:p w14:paraId="7F69CD48" w14:textId="18F534C0" w:rsidR="006C79C5" w:rsidRDefault="006C79C5" w:rsidP="00950767">
      <w:pPr>
        <w:spacing w:line="480" w:lineRule="auto"/>
        <w:contextualSpacing/>
        <w:rPr>
          <w:rFonts w:ascii="Times New Roman" w:hAnsi="Times New Roman" w:cs="Times New Roman"/>
          <w:bCs/>
          <w:color w:val="000000"/>
          <w:sz w:val="24"/>
          <w:szCs w:val="24"/>
        </w:rPr>
      </w:pPr>
    </w:p>
    <w:p w14:paraId="11F56B51" w14:textId="77777777" w:rsidR="006C79C5" w:rsidRPr="006C79C5" w:rsidRDefault="006C79C5" w:rsidP="00950767">
      <w:pPr>
        <w:spacing w:line="480" w:lineRule="auto"/>
        <w:contextualSpacing/>
        <w:rPr>
          <w:rFonts w:ascii="Times New Roman" w:hAnsi="Times New Roman" w:cs="Times New Roman"/>
          <w:bCs/>
          <w:color w:val="000000"/>
          <w:sz w:val="24"/>
          <w:szCs w:val="24"/>
        </w:rPr>
      </w:pPr>
    </w:p>
    <w:p w14:paraId="6C155A2C" w14:textId="77777777" w:rsidR="006C79C5" w:rsidRDefault="006C79C5"/>
    <w:p w14:paraId="10C34DBA" w14:textId="0A313882" w:rsidR="005F384C" w:rsidRDefault="006C79C5">
      <w:r>
        <w:rPr>
          <w:rFonts w:ascii="Times New Roman" w:hAnsi="Times New Roman" w:cs="Times New Roman" w:hint="eastAsia"/>
          <w:b/>
          <w:noProof/>
          <w:sz w:val="24"/>
          <w:szCs w:val="24"/>
        </w:rPr>
        <w:drawing>
          <wp:inline distT="0" distB="0" distL="0" distR="0" wp14:anchorId="2146DD1B" wp14:editId="369D10FA">
            <wp:extent cx="5086350" cy="29051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86350" cy="2905125"/>
                    </a:xfrm>
                    <a:prstGeom prst="rect">
                      <a:avLst/>
                    </a:prstGeom>
                    <a:noFill/>
                    <a:ln>
                      <a:noFill/>
                    </a:ln>
                  </pic:spPr>
                </pic:pic>
              </a:graphicData>
            </a:graphic>
          </wp:inline>
        </w:drawing>
      </w:r>
    </w:p>
    <w:p w14:paraId="1D5183B5" w14:textId="5B367E3C" w:rsidR="006C79C5" w:rsidRDefault="006C79C5"/>
    <w:p w14:paraId="5495A893" w14:textId="0C70F502" w:rsidR="006C79C5" w:rsidRDefault="006C79C5"/>
    <w:p w14:paraId="64740CE4" w14:textId="0F66726C" w:rsidR="006C79C5" w:rsidRDefault="006C79C5" w:rsidP="006C79C5">
      <w:pPr>
        <w:jc w:val="center"/>
        <w:rPr>
          <w:rFonts w:ascii="Times New Roman" w:hAnsi="Times New Roman" w:cs="Times New Roman"/>
          <w:b/>
          <w:bCs/>
        </w:rPr>
      </w:pPr>
      <w:r w:rsidRPr="006C79C5">
        <w:rPr>
          <w:rFonts w:ascii="Times New Roman" w:hAnsi="Times New Roman" w:cs="Times New Roman"/>
          <w:b/>
          <w:bCs/>
        </w:rPr>
        <w:t>Fig.S1</w:t>
      </w:r>
    </w:p>
    <w:p w14:paraId="6840425E" w14:textId="043F05A4" w:rsidR="006C79C5" w:rsidRDefault="006C79C5" w:rsidP="006C79C5">
      <w:pPr>
        <w:jc w:val="center"/>
        <w:rPr>
          <w:rFonts w:ascii="Times New Roman" w:hAnsi="Times New Roman" w:cs="Times New Roman"/>
          <w:b/>
          <w:bCs/>
        </w:rPr>
      </w:pPr>
    </w:p>
    <w:p w14:paraId="00C810DD" w14:textId="163BAF2D" w:rsidR="006C79C5" w:rsidRDefault="006C79C5" w:rsidP="006C79C5">
      <w:pPr>
        <w:jc w:val="center"/>
        <w:rPr>
          <w:rFonts w:ascii="Times New Roman" w:hAnsi="Times New Roman" w:cs="Times New Roman"/>
          <w:b/>
          <w:bCs/>
        </w:rPr>
      </w:pPr>
    </w:p>
    <w:p w14:paraId="0ABC105E" w14:textId="6BCC9BE8" w:rsidR="006C79C5" w:rsidRDefault="006C79C5" w:rsidP="006C79C5">
      <w:pPr>
        <w:jc w:val="center"/>
        <w:rPr>
          <w:rFonts w:ascii="Times New Roman" w:hAnsi="Times New Roman" w:cs="Times New Roman"/>
          <w:b/>
          <w:bCs/>
        </w:rPr>
      </w:pPr>
    </w:p>
    <w:p w14:paraId="23860CDB" w14:textId="68A7E946" w:rsidR="006C79C5" w:rsidRDefault="006C79C5" w:rsidP="006C79C5">
      <w:pPr>
        <w:jc w:val="center"/>
        <w:rPr>
          <w:rFonts w:ascii="Times New Roman" w:hAnsi="Times New Roman" w:cs="Times New Roman"/>
          <w:b/>
          <w:bCs/>
        </w:rPr>
      </w:pPr>
    </w:p>
    <w:p w14:paraId="0CAD19B8" w14:textId="67C061E9" w:rsidR="006C79C5" w:rsidRDefault="006C79C5" w:rsidP="006C79C5">
      <w:pPr>
        <w:jc w:val="center"/>
        <w:rPr>
          <w:rFonts w:ascii="Times New Roman" w:hAnsi="Times New Roman" w:cs="Times New Roman"/>
          <w:b/>
          <w:bCs/>
        </w:rPr>
      </w:pPr>
    </w:p>
    <w:p w14:paraId="5A791F14" w14:textId="73AA30A2" w:rsidR="006C79C5" w:rsidRDefault="006C79C5" w:rsidP="006C79C5">
      <w:pPr>
        <w:jc w:val="center"/>
        <w:rPr>
          <w:rFonts w:ascii="Times New Roman" w:hAnsi="Times New Roman" w:cs="Times New Roman"/>
          <w:b/>
          <w:bCs/>
        </w:rPr>
      </w:pPr>
    </w:p>
    <w:p w14:paraId="6318A60B" w14:textId="43A6E31D" w:rsidR="006C79C5" w:rsidRDefault="006C79C5" w:rsidP="006C79C5">
      <w:pPr>
        <w:jc w:val="center"/>
        <w:rPr>
          <w:rFonts w:ascii="Times New Roman" w:hAnsi="Times New Roman" w:cs="Times New Roman"/>
          <w:b/>
          <w:bCs/>
        </w:rPr>
      </w:pPr>
    </w:p>
    <w:p w14:paraId="7463B7AF" w14:textId="308AA0D9" w:rsidR="006C79C5" w:rsidRDefault="006C79C5" w:rsidP="006C79C5">
      <w:pPr>
        <w:jc w:val="center"/>
        <w:rPr>
          <w:rFonts w:ascii="Times New Roman" w:hAnsi="Times New Roman" w:cs="Times New Roman"/>
          <w:b/>
          <w:bCs/>
        </w:rPr>
      </w:pPr>
    </w:p>
    <w:p w14:paraId="51496A71" w14:textId="08854114" w:rsidR="006C79C5" w:rsidRDefault="006C79C5" w:rsidP="006C79C5">
      <w:pPr>
        <w:jc w:val="center"/>
        <w:rPr>
          <w:rFonts w:ascii="Times New Roman" w:hAnsi="Times New Roman" w:cs="Times New Roman"/>
          <w:b/>
          <w:bCs/>
        </w:rPr>
      </w:pPr>
    </w:p>
    <w:p w14:paraId="7B1E4F70" w14:textId="54DA7E36" w:rsidR="006C79C5" w:rsidRDefault="006C79C5" w:rsidP="006C79C5">
      <w:pPr>
        <w:jc w:val="center"/>
        <w:rPr>
          <w:rFonts w:ascii="Times New Roman" w:hAnsi="Times New Roman" w:cs="Times New Roman"/>
          <w:b/>
          <w:bCs/>
        </w:rPr>
      </w:pPr>
    </w:p>
    <w:p w14:paraId="5D28C7A4" w14:textId="007FB93F" w:rsidR="006C79C5" w:rsidRDefault="006C79C5" w:rsidP="006C79C5">
      <w:pPr>
        <w:jc w:val="center"/>
        <w:rPr>
          <w:rFonts w:ascii="Times New Roman" w:hAnsi="Times New Roman" w:cs="Times New Roman"/>
          <w:b/>
          <w:bCs/>
        </w:rPr>
      </w:pPr>
    </w:p>
    <w:p w14:paraId="3EF2511F" w14:textId="711EE4AE" w:rsidR="006C79C5" w:rsidRDefault="006C79C5" w:rsidP="006C79C5">
      <w:pPr>
        <w:jc w:val="center"/>
        <w:rPr>
          <w:rFonts w:ascii="Times New Roman" w:hAnsi="Times New Roman" w:cs="Times New Roman"/>
          <w:b/>
          <w:bCs/>
        </w:rPr>
      </w:pPr>
    </w:p>
    <w:p w14:paraId="4937EB62" w14:textId="014DF854" w:rsidR="006C79C5" w:rsidRDefault="006C79C5" w:rsidP="006C79C5">
      <w:pPr>
        <w:jc w:val="center"/>
        <w:rPr>
          <w:rFonts w:ascii="Times New Roman" w:hAnsi="Times New Roman" w:cs="Times New Roman"/>
          <w:b/>
          <w:bCs/>
        </w:rPr>
      </w:pPr>
    </w:p>
    <w:p w14:paraId="273C6D4F" w14:textId="543A2B6B" w:rsidR="006C79C5" w:rsidRDefault="006C79C5" w:rsidP="006C79C5">
      <w:pPr>
        <w:jc w:val="center"/>
        <w:rPr>
          <w:rFonts w:ascii="Times New Roman" w:hAnsi="Times New Roman" w:cs="Times New Roman"/>
          <w:b/>
          <w:bCs/>
        </w:rPr>
      </w:pPr>
    </w:p>
    <w:p w14:paraId="56A0844B" w14:textId="6700204A" w:rsidR="006C79C5" w:rsidRDefault="006C79C5" w:rsidP="006C79C5">
      <w:pPr>
        <w:jc w:val="center"/>
        <w:rPr>
          <w:rFonts w:ascii="Times New Roman" w:hAnsi="Times New Roman" w:cs="Times New Roman"/>
          <w:b/>
          <w:bCs/>
        </w:rPr>
      </w:pPr>
    </w:p>
    <w:p w14:paraId="0AE39812" w14:textId="584D8E34" w:rsidR="006C79C5" w:rsidRDefault="006C79C5" w:rsidP="006C79C5">
      <w:pPr>
        <w:jc w:val="center"/>
        <w:rPr>
          <w:rFonts w:ascii="Times New Roman" w:hAnsi="Times New Roman" w:cs="Times New Roman"/>
          <w:b/>
          <w:bCs/>
        </w:rPr>
      </w:pPr>
    </w:p>
    <w:p w14:paraId="32554C6A" w14:textId="0D614B17" w:rsidR="006C79C5" w:rsidRDefault="006C79C5" w:rsidP="006C79C5">
      <w:pPr>
        <w:jc w:val="center"/>
        <w:rPr>
          <w:rFonts w:ascii="Times New Roman" w:hAnsi="Times New Roman" w:cs="Times New Roman"/>
          <w:b/>
          <w:bCs/>
        </w:rPr>
      </w:pPr>
    </w:p>
    <w:p w14:paraId="688A56E4" w14:textId="1E34691C" w:rsidR="006C79C5" w:rsidRDefault="006C79C5" w:rsidP="006C79C5">
      <w:pPr>
        <w:jc w:val="center"/>
        <w:rPr>
          <w:rFonts w:ascii="Times New Roman" w:hAnsi="Times New Roman" w:cs="Times New Roman"/>
          <w:b/>
          <w:bCs/>
        </w:rPr>
      </w:pPr>
    </w:p>
    <w:p w14:paraId="5BB10973" w14:textId="31C4560C" w:rsidR="006C79C5" w:rsidRDefault="006C79C5" w:rsidP="006C79C5">
      <w:pPr>
        <w:jc w:val="center"/>
        <w:rPr>
          <w:rFonts w:ascii="Times New Roman" w:hAnsi="Times New Roman" w:cs="Times New Roman"/>
          <w:b/>
          <w:bCs/>
        </w:rPr>
      </w:pPr>
    </w:p>
    <w:p w14:paraId="5425D8F5" w14:textId="4B011D99" w:rsidR="006C79C5" w:rsidRDefault="006C79C5" w:rsidP="006C79C5">
      <w:pPr>
        <w:jc w:val="center"/>
        <w:rPr>
          <w:rFonts w:ascii="Times New Roman" w:hAnsi="Times New Roman" w:cs="Times New Roman"/>
          <w:b/>
          <w:bCs/>
        </w:rPr>
      </w:pPr>
    </w:p>
    <w:p w14:paraId="04D95452" w14:textId="20848A2F" w:rsidR="006C79C5" w:rsidRDefault="006C79C5" w:rsidP="006C79C5">
      <w:pPr>
        <w:jc w:val="center"/>
        <w:rPr>
          <w:rFonts w:ascii="Times New Roman" w:hAnsi="Times New Roman" w:cs="Times New Roman"/>
          <w:b/>
          <w:bCs/>
        </w:rPr>
      </w:pPr>
    </w:p>
    <w:p w14:paraId="57B93AE1" w14:textId="3C21FB2D" w:rsidR="006C79C5" w:rsidRDefault="006C79C5" w:rsidP="006C79C5">
      <w:pPr>
        <w:jc w:val="center"/>
        <w:rPr>
          <w:rFonts w:ascii="Times New Roman" w:hAnsi="Times New Roman" w:cs="Times New Roman"/>
          <w:b/>
          <w:bCs/>
        </w:rPr>
      </w:pPr>
      <w:r>
        <w:rPr>
          <w:rFonts w:ascii="Times New Roman" w:hAnsi="Times New Roman" w:cs="Times New Roman"/>
          <w:b/>
          <w:bCs/>
          <w:noProof/>
        </w:rPr>
        <w:lastRenderedPageBreak/>
        <w:drawing>
          <wp:inline distT="0" distB="0" distL="0" distR="0" wp14:anchorId="3934229E" wp14:editId="74702C24">
            <wp:extent cx="5276850" cy="404812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6850" cy="4048125"/>
                    </a:xfrm>
                    <a:prstGeom prst="rect">
                      <a:avLst/>
                    </a:prstGeom>
                    <a:noFill/>
                    <a:ln>
                      <a:noFill/>
                    </a:ln>
                  </pic:spPr>
                </pic:pic>
              </a:graphicData>
            </a:graphic>
          </wp:inline>
        </w:drawing>
      </w:r>
    </w:p>
    <w:p w14:paraId="7EADCE00" w14:textId="3ECE153A" w:rsidR="006C79C5" w:rsidRDefault="006C79C5" w:rsidP="006C79C5">
      <w:pPr>
        <w:jc w:val="center"/>
        <w:rPr>
          <w:rFonts w:ascii="Times New Roman" w:hAnsi="Times New Roman" w:cs="Times New Roman"/>
          <w:b/>
          <w:bCs/>
        </w:rPr>
      </w:pPr>
    </w:p>
    <w:p w14:paraId="03111F07" w14:textId="5505D864" w:rsidR="006C79C5" w:rsidRPr="006C79C5" w:rsidRDefault="006C79C5" w:rsidP="006C79C5">
      <w:pPr>
        <w:jc w:val="center"/>
        <w:rPr>
          <w:rFonts w:ascii="Times New Roman" w:hAnsi="Times New Roman" w:cs="Times New Roman"/>
          <w:b/>
          <w:bCs/>
        </w:rPr>
      </w:pPr>
      <w:r>
        <w:rPr>
          <w:rFonts w:ascii="Times New Roman" w:hAnsi="Times New Roman" w:cs="Times New Roman" w:hint="eastAsia"/>
          <w:b/>
          <w:bCs/>
        </w:rPr>
        <w:t>F</w:t>
      </w:r>
      <w:r>
        <w:rPr>
          <w:rFonts w:ascii="Times New Roman" w:hAnsi="Times New Roman" w:cs="Times New Roman"/>
          <w:b/>
          <w:bCs/>
        </w:rPr>
        <w:t>ig. S2</w:t>
      </w:r>
    </w:p>
    <w:sectPr w:rsidR="006C79C5" w:rsidRPr="006C79C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62D345" w14:textId="77777777" w:rsidR="00E022D3" w:rsidRDefault="00E022D3" w:rsidP="00950767">
      <w:r>
        <w:separator/>
      </w:r>
    </w:p>
  </w:endnote>
  <w:endnote w:type="continuationSeparator" w:id="0">
    <w:p w14:paraId="53DD7A1E" w14:textId="77777777" w:rsidR="00E022D3" w:rsidRDefault="00E022D3" w:rsidP="009507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Yu Mincho">
    <w:panose1 w:val="02020400000000000000"/>
    <w:charset w:val="80"/>
    <w:family w:val="roman"/>
    <w:pitch w:val="variable"/>
    <w:sig w:usb0="800002E7" w:usb1="2AC7FCFF" w:usb2="00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240405" w14:textId="77777777" w:rsidR="00E022D3" w:rsidRDefault="00E022D3" w:rsidP="00950767">
      <w:r>
        <w:separator/>
      </w:r>
    </w:p>
  </w:footnote>
  <w:footnote w:type="continuationSeparator" w:id="0">
    <w:p w14:paraId="638F5427" w14:textId="77777777" w:rsidR="00E022D3" w:rsidRDefault="00E022D3" w:rsidP="009507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E20"/>
    <w:rsid w:val="00121A9E"/>
    <w:rsid w:val="00164484"/>
    <w:rsid w:val="001C7061"/>
    <w:rsid w:val="00370947"/>
    <w:rsid w:val="005F384C"/>
    <w:rsid w:val="006C79C5"/>
    <w:rsid w:val="00894E20"/>
    <w:rsid w:val="00950767"/>
    <w:rsid w:val="00E02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744EF5"/>
  <w15:chartTrackingRefBased/>
  <w15:docId w15:val="{4927DCF2-796C-4B30-8DC1-745862310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95076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5076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50767"/>
    <w:rPr>
      <w:sz w:val="18"/>
      <w:szCs w:val="18"/>
    </w:rPr>
  </w:style>
  <w:style w:type="paragraph" w:styleId="a5">
    <w:name w:val="footer"/>
    <w:basedOn w:val="a"/>
    <w:link w:val="a6"/>
    <w:uiPriority w:val="99"/>
    <w:unhideWhenUsed/>
    <w:rsid w:val="00950767"/>
    <w:pPr>
      <w:tabs>
        <w:tab w:val="center" w:pos="4153"/>
        <w:tab w:val="right" w:pos="8306"/>
      </w:tabs>
      <w:snapToGrid w:val="0"/>
      <w:jc w:val="left"/>
    </w:pPr>
    <w:rPr>
      <w:sz w:val="18"/>
      <w:szCs w:val="18"/>
    </w:rPr>
  </w:style>
  <w:style w:type="character" w:customStyle="1" w:styleId="a6">
    <w:name w:val="页脚 字符"/>
    <w:basedOn w:val="a0"/>
    <w:link w:val="a5"/>
    <w:uiPriority w:val="99"/>
    <w:rsid w:val="00950767"/>
    <w:rPr>
      <w:sz w:val="18"/>
      <w:szCs w:val="18"/>
    </w:rPr>
  </w:style>
  <w:style w:type="paragraph" w:styleId="a7">
    <w:name w:val="Title"/>
    <w:basedOn w:val="a"/>
    <w:link w:val="a8"/>
    <w:qFormat/>
    <w:rsid w:val="006C79C5"/>
    <w:pPr>
      <w:widowControl/>
      <w:spacing w:before="240" w:after="60" w:line="480" w:lineRule="auto"/>
      <w:jc w:val="center"/>
      <w:outlineLvl w:val="0"/>
    </w:pPr>
    <w:rPr>
      <w:rFonts w:ascii="Arial" w:eastAsia="宋体" w:hAnsi="Arial" w:cs="Arial"/>
      <w:b/>
      <w:bCs/>
      <w:kern w:val="28"/>
      <w:sz w:val="32"/>
      <w:szCs w:val="32"/>
      <w:lang w:eastAsia="en-US"/>
    </w:rPr>
  </w:style>
  <w:style w:type="character" w:customStyle="1" w:styleId="a8">
    <w:name w:val="标题 字符"/>
    <w:basedOn w:val="a0"/>
    <w:link w:val="a7"/>
    <w:rsid w:val="006C79C5"/>
    <w:rPr>
      <w:rFonts w:ascii="Arial" w:eastAsia="宋体" w:hAnsi="Arial" w:cs="Arial"/>
      <w:b/>
      <w:bCs/>
      <w:kern w:val="28"/>
      <w:sz w:val="32"/>
      <w:szCs w:val="32"/>
      <w:lang w:eastAsia="en-US"/>
    </w:rPr>
  </w:style>
  <w:style w:type="paragraph" w:customStyle="1" w:styleId="EndNoteBibliography">
    <w:name w:val="EndNote Bibliography"/>
    <w:basedOn w:val="a"/>
    <w:link w:val="EndNoteBibliography0"/>
    <w:rsid w:val="006C79C5"/>
    <w:rPr>
      <w:rFonts w:ascii="等线" w:eastAsia="等线" w:hAnsi="等线"/>
      <w:noProof/>
      <w:sz w:val="20"/>
    </w:rPr>
  </w:style>
  <w:style w:type="character" w:customStyle="1" w:styleId="EndNoteBibliography0">
    <w:name w:val="EndNote Bibliography 字符"/>
    <w:basedOn w:val="a0"/>
    <w:link w:val="EndNoteBibliography"/>
    <w:rsid w:val="006C79C5"/>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415</Words>
  <Characters>2366</Characters>
  <Application>Microsoft Office Word</Application>
  <DocSecurity>0</DocSecurity>
  <Lines>19</Lines>
  <Paragraphs>5</Paragraphs>
  <ScaleCrop>false</ScaleCrop>
  <Company/>
  <LinksUpToDate>false</LinksUpToDate>
  <CharactersWithSpaces>2776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韦冰</dc:creator>
  <cp:keywords/>
  <dc:description/>
  <cp:lastModifiedBy>刘 韦冰</cp:lastModifiedBy>
  <cp:revision>4</cp:revision>
  <dcterms:created xsi:type="dcterms:W3CDTF">2020-03-24T10:38:00Z</dcterms:created>
  <dcterms:modified xsi:type="dcterms:W3CDTF">2020-03-27T08:31:00Z</dcterms:modified>
</cp:coreProperties>
</file>